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51" w:rsidRPr="00A14B3C" w:rsidRDefault="00C25851" w:rsidP="00AF15E4">
      <w:pPr>
        <w:spacing w:after="480"/>
        <w:ind w:firstLine="509"/>
        <w:jc w:val="center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‏</w:t>
      </w:r>
      <w:r w:rsidRPr="00A14B3C">
        <w:rPr>
          <w:rFonts w:ascii="Traditional Arabic" w:hAnsi="Traditional Arabic" w:cs="Traditional Arabic"/>
          <w:b/>
          <w:bCs/>
          <w:sz w:val="38"/>
          <w:szCs w:val="38"/>
          <w:rtl/>
        </w:rPr>
        <w:t>تعليق على فتوى أحد الدعاة بإباحة ب</w:t>
      </w:r>
      <w:bookmarkStart w:id="0" w:name="_GoBack"/>
      <w:bookmarkEnd w:id="0"/>
      <w:r w:rsidRPr="00A14B3C">
        <w:rPr>
          <w:rFonts w:ascii="Traditional Arabic" w:hAnsi="Traditional Arabic" w:cs="Traditional Arabic"/>
          <w:b/>
          <w:bCs/>
          <w:sz w:val="38"/>
          <w:szCs w:val="38"/>
          <w:rtl/>
        </w:rPr>
        <w:t>عض أنواع الموسيقى</w:t>
      </w:r>
    </w:p>
    <w:p w:rsidR="00C25851" w:rsidRPr="00A14B3C" w:rsidRDefault="00C25851" w:rsidP="00AF15E4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الحمد لله رب العالمين، وصلى الله على نبينا محمد، </w:t>
      </w:r>
      <w:proofErr w:type="spellStart"/>
      <w:r w:rsidRPr="00A14B3C">
        <w:rPr>
          <w:rFonts w:ascii="Traditional Arabic" w:hAnsi="Traditional Arabic" w:cs="Traditional Arabic"/>
          <w:sz w:val="38"/>
          <w:szCs w:val="38"/>
          <w:rtl/>
        </w:rPr>
        <w:t>وآله</w:t>
      </w:r>
      <w:proofErr w:type="spellEnd"/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وصحبه أجمعين، أما بعد:</w:t>
      </w:r>
    </w:p>
    <w:p w:rsidR="00C25851" w:rsidRPr="00A14B3C" w:rsidRDefault="00C25851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فإنه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لم يكن من هدي السلف الحرص على الإفتاء، أو الإعلان على الملأ أن خطتهم المستقبلة: الازدياد منه!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إنما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كانوا يعدونه ابتلاء؛ يطلبون السلامة منه ما أمكنهم.</w:t>
      </w:r>
    </w:p>
    <w:p w:rsidR="00C25851" w:rsidRPr="00A14B3C" w:rsidRDefault="00C25851" w:rsidP="00A14B3C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قال ابن حمدان الحنبلي (695هـ) رحمه الله: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كان السلف من الصحابة وغيرهم يتدافعون المسائل والفتوى، وكل واحد ودَّ أن أخاه كفاه هي.</w:t>
      </w:r>
    </w:p>
    <w:p w:rsidR="00C25851" w:rsidRPr="00A14B3C" w:rsidRDefault="00C25851" w:rsidP="00A14B3C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التجديد في الدين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ل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يس إحداث شيء جديد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؛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إنما إذا غلبت الأهواء: كان تجديد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َ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الدعوة إلى القديم .. الدين العتيق، والأمر الأول</w:t>
      </w:r>
      <w:r w:rsidR="00A14B3C">
        <w:rPr>
          <w:rFonts w:ascii="Traditional Arabic" w:hAnsi="Traditional Arabic" w:cs="Traditional Arabic" w:hint="cs"/>
          <w:sz w:val="38"/>
          <w:szCs w:val="38"/>
          <w:rtl/>
        </w:rPr>
        <w:t>؛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"ما أنا عليه وأصحابي"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C25851" w:rsidRPr="00A14B3C" w:rsidRDefault="00C25851" w:rsidP="00A14B3C">
      <w:pPr>
        <w:spacing w:after="120"/>
        <w:ind w:firstLine="509"/>
        <w:jc w:val="center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****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*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*</w:t>
      </w:r>
    </w:p>
    <w:p w:rsidR="00C25851" w:rsidRPr="00A14B3C" w:rsidRDefault="00C25851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أثيرت مؤخرا زوبعة جديدة في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شأن الغناء؛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حيث أفتى أحد الدعاة بتحريم استماع بعض دون بعض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!</w:t>
      </w:r>
    </w:p>
    <w:p w:rsidR="00C25851" w:rsidRPr="00A14B3C" w:rsidRDefault="00C25851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فهل لذا التفريق أصل في كلام العلماء؟</w:t>
      </w:r>
    </w:p>
    <w:p w:rsidR="00A13CF9" w:rsidRPr="00A14B3C" w:rsidRDefault="00A13CF9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هذه جملة من كلامهم:</w:t>
      </w:r>
    </w:p>
    <w:p w:rsidR="00C25851" w:rsidRPr="00A14B3C" w:rsidRDefault="00C25851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قال ابن رجب -رحمه الله- في فتح الباري (2/83): (وأما استماع آلات الملاهي المطرِبة </w:t>
      </w:r>
      <w:proofErr w:type="spellStart"/>
      <w:r w:rsidRPr="00A14B3C">
        <w:rPr>
          <w:rFonts w:ascii="Traditional Arabic" w:hAnsi="Traditional Arabic" w:cs="Traditional Arabic"/>
          <w:sz w:val="38"/>
          <w:szCs w:val="38"/>
          <w:rtl/>
        </w:rPr>
        <w:t>المتلقاة</w:t>
      </w:r>
      <w:proofErr w:type="spellEnd"/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من وضع </w:t>
      </w:r>
      <w:r w:rsidR="00A14B3C">
        <w:rPr>
          <w:rFonts w:ascii="Traditional Arabic" w:hAnsi="Traditional Arabic" w:cs="Traditional Arabic"/>
          <w:sz w:val="38"/>
          <w:szCs w:val="38"/>
          <w:rtl/>
        </w:rPr>
        <w:t>الأعاجم</w:t>
      </w:r>
      <w:r w:rsidR="00A14B3C">
        <w:rPr>
          <w:rFonts w:ascii="Traditional Arabic" w:hAnsi="Traditional Arabic" w:cs="Traditional Arabic" w:hint="cs"/>
          <w:sz w:val="38"/>
          <w:szCs w:val="38"/>
          <w:rtl/>
        </w:rPr>
        <w:t>: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b/>
          <w:bCs/>
          <w:sz w:val="38"/>
          <w:szCs w:val="38"/>
          <w:rtl/>
        </w:rPr>
        <w:t>فمحرمٌ مجمع على تحريمه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،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ولا يُعلم عن أحد منهم الرخصة في شيء من ذلك، ومن نقل الرخصة فيه عن إمام يُعتد به فقد كذب وافترى)</w:t>
      </w:r>
      <w:r w:rsidR="00A14B3C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A13CF9" w:rsidRDefault="00A13CF9" w:rsidP="00A14B3C">
      <w:pPr>
        <w:spacing w:after="120"/>
        <w:ind w:firstLine="509"/>
        <w:jc w:val="both"/>
        <w:rPr>
          <w:rFonts w:ascii="Traditional Arabic" w:hAnsi="Traditional Arabic" w:cs="Traditional Arabic" w:hint="cs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ف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هذا ابن رجب ينقل الإجماع على التحريم مطلقا.</w:t>
      </w:r>
    </w:p>
    <w:p w:rsidR="00A14B3C" w:rsidRPr="00A14B3C" w:rsidRDefault="00A14B3C" w:rsidP="00A14B3C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lastRenderedPageBreak/>
        <w:t>و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قال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في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كتابه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نزهة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الأسماع</w:t>
      </w:r>
      <w:r>
        <w:rPr>
          <w:rFonts w:ascii="Traditional Arabic" w:hAnsi="Traditional Arabic" w:cs="Traditional Arabic" w:hint="cs"/>
          <w:sz w:val="38"/>
          <w:szCs w:val="38"/>
          <w:rtl/>
        </w:rPr>
        <w:t xml:space="preserve"> (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60</w:t>
      </w:r>
      <w:r>
        <w:rPr>
          <w:rFonts w:ascii="Traditional Arabic" w:hAnsi="Traditional Arabic" w:cs="Traditional Arabic" w:hint="cs"/>
          <w:sz w:val="38"/>
          <w:szCs w:val="38"/>
          <w:rtl/>
        </w:rPr>
        <w:t>)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: (</w:t>
      </w:r>
      <w:r w:rsidRPr="00A97CE9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لا</w:t>
      </w:r>
      <w:r w:rsidRPr="00A97CE9">
        <w:rPr>
          <w:rFonts w:ascii="Traditional Arabic" w:hAnsi="Traditional Arabic" w:cs="Traditional Arabic"/>
          <w:b/>
          <w:bCs/>
          <w:sz w:val="38"/>
          <w:szCs w:val="38"/>
          <w:rtl/>
        </w:rPr>
        <w:t xml:space="preserve"> </w:t>
      </w:r>
      <w:r w:rsidRPr="00A97CE9">
        <w:rPr>
          <w:rFonts w:ascii="Traditional Arabic" w:hAnsi="Traditional Arabic" w:cs="Traditional Arabic" w:hint="cs"/>
          <w:b/>
          <w:bCs/>
          <w:sz w:val="38"/>
          <w:szCs w:val="38"/>
          <w:rtl/>
        </w:rPr>
        <w:t>يُعرف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عن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أحد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ممن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سلف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الرخصة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فيها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[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آلات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الملاهي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]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،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إنما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يُعرف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ذلك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عن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بعض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المتأخرين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من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الظاهرية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والصوفية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ممن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proofErr w:type="spellStart"/>
      <w:r w:rsidRPr="00A14B3C">
        <w:rPr>
          <w:rFonts w:ascii="Traditional Arabic" w:hAnsi="Traditional Arabic" w:cs="Traditional Arabic" w:hint="cs"/>
          <w:sz w:val="38"/>
          <w:szCs w:val="38"/>
          <w:rtl/>
        </w:rPr>
        <w:t>لايعتد</w:t>
      </w:r>
      <w:proofErr w:type="spellEnd"/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 w:hint="cs"/>
          <w:sz w:val="38"/>
          <w:szCs w:val="38"/>
          <w:rtl/>
        </w:rPr>
        <w:t>به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).</w:t>
      </w:r>
    </w:p>
    <w:p w:rsidR="00C25851" w:rsidRPr="00A14B3C" w:rsidRDefault="00A14B3C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قال النووي في روضة الطالبين (8/205): (المزمار العراقي وما يُضرب به الأوتار: </w:t>
      </w:r>
      <w:r w:rsidR="00C25851" w:rsidRPr="00A14B3C">
        <w:rPr>
          <w:rFonts w:ascii="Traditional Arabic" w:hAnsi="Traditional Arabic" w:cs="Traditional Arabic"/>
          <w:b/>
          <w:bCs/>
          <w:sz w:val="38"/>
          <w:szCs w:val="38"/>
          <w:rtl/>
        </w:rPr>
        <w:t>حرامٌ بلا خلاف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)</w:t>
      </w:r>
      <w:r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C25851" w:rsidRPr="00A14B3C" w:rsidRDefault="00C25851" w:rsidP="00A14B3C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ولم يستثنِ حالة؛ لا موسيقى عسكرية ولا غيرها!</w:t>
      </w:r>
    </w:p>
    <w:p w:rsidR="00C25851" w:rsidRPr="00A14B3C" w:rsidRDefault="00A14B3C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قال ابن قدامة في المغني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(12/457):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(وأما آلة اللهو كالطنبور والمزمار والشَّبَّابة: فلا قطع فيه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[أي</w:t>
      </w:r>
      <w:r>
        <w:rPr>
          <w:rFonts w:ascii="Traditional Arabic" w:hAnsi="Traditional Arabic" w:cs="Traditional Arabic" w:hint="cs"/>
          <w:sz w:val="38"/>
          <w:szCs w:val="38"/>
          <w:rtl/>
        </w:rPr>
        <w:t>: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لا تقطع اليد بسرقته] 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.. ولنا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: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 أنه </w:t>
      </w:r>
      <w:r w:rsidR="00C25851" w:rsidRPr="00A14B3C">
        <w:rPr>
          <w:rFonts w:ascii="Traditional Arabic" w:hAnsi="Traditional Arabic" w:cs="Traditional Arabic"/>
          <w:b/>
          <w:bCs/>
          <w:sz w:val="38"/>
          <w:szCs w:val="38"/>
          <w:rtl/>
        </w:rPr>
        <w:t>آلة للمعصية بالإجماع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)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C25851" w:rsidRPr="00A14B3C" w:rsidRDefault="00C25851" w:rsidP="00A14B3C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ولم يفرق أيضا.</w:t>
      </w:r>
    </w:p>
    <w:p w:rsidR="00C25851" w:rsidRPr="00A14B3C" w:rsidRDefault="00A14B3C" w:rsidP="00A14B3C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قال </w:t>
      </w:r>
      <w:proofErr w:type="spellStart"/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البغوي</w:t>
      </w:r>
      <w:proofErr w:type="spellEnd"/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 في شرح السنة (12/383): (</w:t>
      </w:r>
      <w:r w:rsidR="00C25851" w:rsidRPr="00A14B3C">
        <w:rPr>
          <w:rFonts w:ascii="Traditional Arabic" w:hAnsi="Traditional Arabic" w:cs="Traditional Arabic"/>
          <w:b/>
          <w:bCs/>
          <w:sz w:val="38"/>
          <w:szCs w:val="38"/>
          <w:rtl/>
        </w:rPr>
        <w:t>واتفقوا على تحريم المزامير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 والملاهي والمعازف)</w:t>
      </w:r>
      <w:r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C25851" w:rsidRPr="00A14B3C" w:rsidRDefault="00C25851" w:rsidP="00A14B3C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أيضا لم يستثن الشيء اليسير، أو ما لا يحرك شجنا</w:t>
      </w:r>
      <w:r w:rsidR="00A13CF9" w:rsidRPr="00A14B3C">
        <w:rPr>
          <w:rFonts w:ascii="Traditional Arabic" w:hAnsi="Traditional Arabic" w:cs="Traditional Arabic"/>
          <w:sz w:val="38"/>
          <w:szCs w:val="38"/>
        </w:rPr>
        <w:t>!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</w:p>
    <w:p w:rsidR="00C25851" w:rsidRPr="00A14B3C" w:rsidRDefault="00A97CE9" w:rsidP="00A97CE9">
      <w:pPr>
        <w:spacing w:after="24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قال </w:t>
      </w:r>
      <w:proofErr w:type="spellStart"/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الهيتمي</w:t>
      </w:r>
      <w:proofErr w:type="spellEnd"/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 في كف الرعاع عن محرمات اللهو والسماع </w:t>
      </w:r>
      <w:r>
        <w:rPr>
          <w:rFonts w:ascii="Traditional Arabic" w:hAnsi="Traditional Arabic" w:cs="Traditional Arabic" w:hint="cs"/>
          <w:sz w:val="38"/>
          <w:szCs w:val="38"/>
          <w:rtl/>
        </w:rPr>
        <w:t>(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2/306</w:t>
      </w:r>
      <w:r>
        <w:rPr>
          <w:rFonts w:ascii="Traditional Arabic" w:hAnsi="Traditional Arabic" w:cs="Traditional Arabic" w:hint="cs"/>
          <w:sz w:val="38"/>
          <w:szCs w:val="38"/>
          <w:rtl/>
        </w:rPr>
        <w:t>)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 عن آلات المعازف: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(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 xml:space="preserve">هذه كلها </w:t>
      </w:r>
      <w:r w:rsidR="00C25851" w:rsidRPr="00A97CE9">
        <w:rPr>
          <w:rFonts w:ascii="Traditional Arabic" w:hAnsi="Traditional Arabic" w:cs="Traditional Arabic"/>
          <w:b/>
          <w:bCs/>
          <w:sz w:val="38"/>
          <w:szCs w:val="38"/>
          <w:rtl/>
        </w:rPr>
        <w:t>محرمة بلا خلاف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، ومن حكى فيها خلافا فقد غلط أو غلب عليه هواه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)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C25851" w:rsidRPr="00A14B3C" w:rsidRDefault="00C25851" w:rsidP="00A97CE9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هذا طرفٌ من نقل إجماع العلماء على تحريم استماع المعازف مطلقا، دون تفريق بين قليل وكثير، أو نوع وآخر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،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ولو لا خشية الإطالة لسقت نقولا غيرها.</w:t>
      </w:r>
    </w:p>
    <w:p w:rsidR="00C25851" w:rsidRPr="00A14B3C" w:rsidRDefault="00C25851" w:rsidP="00A97CE9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ورحم الله ابن تيمية، حيث قال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-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الفتاوى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18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>/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51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-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: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(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غيرُ العالِم لا يكون له قول، وإنما القول للعالِم ..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على كل من ليس بعالِم أن يتبع إجماع أهل العلم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>).</w:t>
      </w:r>
    </w:p>
    <w:p w:rsidR="00C25851" w:rsidRPr="00A14B3C" w:rsidRDefault="00C25851" w:rsidP="00A97CE9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lastRenderedPageBreak/>
        <w:t>هذا عن الإجماع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؛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وأما الأحاديث في </w:t>
      </w:r>
      <w:r w:rsidR="00A97CE9">
        <w:rPr>
          <w:rFonts w:ascii="Traditional Arabic" w:hAnsi="Traditional Arabic" w:cs="Traditional Arabic"/>
          <w:sz w:val="38"/>
          <w:szCs w:val="38"/>
          <w:rtl/>
        </w:rPr>
        <w:t>تحريم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 المعازف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فعِدّةٌ</w:t>
      </w:r>
      <w:r w:rsidR="00A13CF9" w:rsidRPr="00A14B3C">
        <w:rPr>
          <w:rFonts w:ascii="Traditional Arabic" w:hAnsi="Traditional Arabic" w:cs="Traditional Arabic"/>
          <w:sz w:val="38"/>
          <w:szCs w:val="38"/>
          <w:rtl/>
        </w:rPr>
        <w:t xml:space="preserve">،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وأوصي في الاطلاع عليها بمطالعة كتاب: تحريم آلات الطرب للألباني.</w:t>
      </w:r>
    </w:p>
    <w:p w:rsidR="00C25851" w:rsidRPr="00A14B3C" w:rsidRDefault="00D06496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إذن .. 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هل القائل بالتفريق بين أنواع المعازف "الموسيقى" له سلفٌ من السلف، أو قدوة من الأئمة؟!</w:t>
      </w:r>
    </w:p>
    <w:p w:rsidR="00C25851" w:rsidRPr="00A14B3C" w:rsidRDefault="00A97CE9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 w:hint="cs"/>
          <w:sz w:val="38"/>
          <w:szCs w:val="38"/>
          <w:rtl/>
        </w:rPr>
        <w:t>و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هل يسوغ أن ي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>ُ</w:t>
      </w:r>
      <w:r w:rsidR="00C25851" w:rsidRPr="00A14B3C">
        <w:rPr>
          <w:rFonts w:ascii="Traditional Arabic" w:hAnsi="Traditional Arabic" w:cs="Traditional Arabic"/>
          <w:sz w:val="38"/>
          <w:szCs w:val="38"/>
          <w:rtl/>
        </w:rPr>
        <w:t>رمي بإجماع العلماء عرض الحائط؟!</w:t>
      </w:r>
    </w:p>
    <w:p w:rsidR="00C25851" w:rsidRPr="00A14B3C" w:rsidRDefault="00C25851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أنحن أورع من ابن عباس رضي الله عنهما حين قال قولا صريحا فصيحا: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(الدف حرام، والمعازف حرام، والكوبة حرام، والمزمار حرام)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 xml:space="preserve"> أخرجه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البيهقي10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>/</w:t>
      </w:r>
      <w:r w:rsidR="00A97CE9">
        <w:rPr>
          <w:rFonts w:ascii="Traditional Arabic" w:hAnsi="Traditional Arabic" w:cs="Traditional Arabic"/>
          <w:sz w:val="38"/>
          <w:szCs w:val="38"/>
          <w:rtl/>
        </w:rPr>
        <w:t>222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 ب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سند صحيح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C25851" w:rsidRPr="00A14B3C" w:rsidRDefault="00C25851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هل فات الفقيه الور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>ِ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ع ابن عباس أن ينبه إلى أن استماع نصف دقيقة من مزمار: لا يستطيع تحريمه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>!</w:t>
      </w:r>
    </w:p>
    <w:p w:rsidR="00C25851" w:rsidRPr="00A14B3C" w:rsidRDefault="00C25851" w:rsidP="00A97CE9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أو أن طنطنة يسيرة بالكوبة -تشبه العود- يتورع عن منعها!</w:t>
      </w:r>
    </w:p>
    <w:p w:rsidR="00A14B3C" w:rsidRPr="00A14B3C" w:rsidRDefault="00AF15E4" w:rsidP="00A97CE9">
      <w:pPr>
        <w:spacing w:after="120"/>
        <w:ind w:firstLine="509"/>
        <w:jc w:val="center"/>
        <w:rPr>
          <w:rFonts w:ascii="Traditional Arabic" w:hAnsi="Traditional Arabic" w:cs="Traditional Arabic"/>
          <w:sz w:val="38"/>
          <w:szCs w:val="38"/>
          <w:rtl/>
        </w:rPr>
      </w:pPr>
      <w:r>
        <w:rPr>
          <w:rFonts w:ascii="Traditional Arabic" w:hAnsi="Traditional Arabic" w:cs="Traditional Arabic"/>
          <w:sz w:val="38"/>
          <w:szCs w:val="38"/>
          <w:rtl/>
        </w:rPr>
        <w:t>***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****</w:t>
      </w:r>
    </w:p>
    <w:p w:rsidR="00A97CE9" w:rsidRDefault="00D06496" w:rsidP="00A97CE9">
      <w:pPr>
        <w:spacing w:after="0"/>
        <w:ind w:firstLine="509"/>
        <w:jc w:val="both"/>
        <w:rPr>
          <w:rFonts w:ascii="Traditional Arabic" w:hAnsi="Traditional Arabic" w:cs="Traditional Arabic" w:hint="cs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ويجدر التنبيه ههنا على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 أن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بعض المتصدرين للفتوى يخلطون في تعليل الأحكام بين العلة والحكمة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D06496" w:rsidRPr="00A14B3C" w:rsidRDefault="00D06496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فالحكمة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: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علة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ُ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العلة، ولا ت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ُ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علق بها الأحكام عند الجمهور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-وهو الحق</w:t>
      </w:r>
      <w:r w:rsidR="00A97CE9">
        <w:rPr>
          <w:rFonts w:ascii="Traditional Arabic" w:hAnsi="Traditional Arabic" w:cs="Traditional Arabic"/>
          <w:sz w:val="38"/>
          <w:szCs w:val="38"/>
          <w:rtl/>
        </w:rPr>
        <w:t>-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؛ لأنها لا تنضبط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D06496" w:rsidRPr="00A14B3C" w:rsidRDefault="00A14B3C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وعودا على بدء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>: صاحب الفتوى الجديدة في الموسيقى: عل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ّ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 xml:space="preserve">ل إباحة بعض أنواعها </w:t>
      </w:r>
      <w:r w:rsidR="00A97CE9">
        <w:rPr>
          <w:rFonts w:ascii="Traditional Arabic" w:hAnsi="Traditional Arabic" w:cs="Traditional Arabic"/>
          <w:sz w:val="38"/>
          <w:szCs w:val="38"/>
          <w:rtl/>
        </w:rPr>
        <w:t>ب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>دعوى أ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>نها لا تحرك الغرائز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!</w:t>
      </w:r>
    </w:p>
    <w:p w:rsidR="00D06496" w:rsidRPr="00A14B3C" w:rsidRDefault="00A14B3C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فيقال: 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>هذه حكمة؛ ولا تعلق بها الأحكام .</w:t>
      </w:r>
    </w:p>
    <w:p w:rsidR="00D06496" w:rsidRPr="00A14B3C" w:rsidRDefault="00D06496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ويمكن -طردا على هذا- أن 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>يقا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ل: الغناء الرياضي لا يحرك الغريزة فيجوز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!</w:t>
      </w:r>
    </w:p>
    <w:p w:rsidR="00D06496" w:rsidRPr="00A14B3C" w:rsidRDefault="00D06496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lastRenderedPageBreak/>
        <w:t xml:space="preserve">والغناء عن الأمومة والصداقة 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.. إلخ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 xml:space="preserve">: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جائز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 أيضا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!</w:t>
      </w:r>
    </w:p>
    <w:p w:rsidR="00D06496" w:rsidRPr="00A14B3C" w:rsidRDefault="00D06496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بل لو قال قائل: غناء المغنيات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 xml:space="preserve"> الماجنات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لا يحرك في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ّ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ساكنا: للزم إباحته له!</w:t>
      </w:r>
    </w:p>
    <w:p w:rsidR="00D06496" w:rsidRPr="00A14B3C" w:rsidRDefault="00D06496" w:rsidP="00A97CE9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ولو سلكنا هذا المسلك</w:t>
      </w:r>
      <w:r w:rsidR="00A97CE9">
        <w:rPr>
          <w:rFonts w:ascii="Traditional Arabic" w:hAnsi="Traditional Arabic" w:cs="Traditional Arabic"/>
          <w:sz w:val="38"/>
          <w:szCs w:val="38"/>
          <w:rtl/>
        </w:rPr>
        <w:t xml:space="preserve"> وطردنا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>ه في أبواب أخرى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: فلنمنع قصر الصلاة غالبا؛ لعدم وجود الحكمة: زوال المشقة!</w:t>
      </w:r>
    </w:p>
    <w:p w:rsidR="00D06496" w:rsidRPr="00A14B3C" w:rsidRDefault="00D06496" w:rsidP="00A97CE9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وهلم جر</w:t>
      </w:r>
      <w:r w:rsidR="00D8524F">
        <w:rPr>
          <w:rFonts w:ascii="Traditional Arabic" w:hAnsi="Traditional Arabic" w:cs="Traditional Arabic" w:hint="cs"/>
          <w:sz w:val="38"/>
          <w:szCs w:val="38"/>
          <w:rtl/>
        </w:rPr>
        <w:t>ّ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ا في مسائل كثيرة</w:t>
      </w:r>
      <w:r w:rsidR="00A97CE9">
        <w:rPr>
          <w:rFonts w:ascii="Traditional Arabic" w:hAnsi="Traditional Arabic" w:cs="Traditional Arabic" w:hint="cs"/>
          <w:sz w:val="38"/>
          <w:szCs w:val="38"/>
          <w:rtl/>
        </w:rPr>
        <w:t xml:space="preserve">؛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فأي </w:t>
      </w:r>
      <w:r w:rsidR="00D8524F">
        <w:rPr>
          <w:rFonts w:ascii="Traditional Arabic" w:hAnsi="Traditional Arabic" w:cs="Traditional Arabic" w:hint="cs"/>
          <w:sz w:val="38"/>
          <w:szCs w:val="38"/>
          <w:rtl/>
        </w:rPr>
        <w:t>سقطة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="00D8524F">
        <w:rPr>
          <w:rFonts w:ascii="Traditional Arabic" w:hAnsi="Traditional Arabic" w:cs="Traditional Arabic"/>
          <w:sz w:val="38"/>
          <w:szCs w:val="38"/>
          <w:rtl/>
        </w:rPr>
        <w:t>كهذ</w:t>
      </w:r>
      <w:r w:rsidR="00D8524F">
        <w:rPr>
          <w:rFonts w:ascii="Traditional Arabic" w:hAnsi="Traditional Arabic" w:cs="Traditional Arabic" w:hint="cs"/>
          <w:sz w:val="38"/>
          <w:szCs w:val="38"/>
          <w:rtl/>
        </w:rPr>
        <w:t>ه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؟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!</w:t>
      </w:r>
    </w:p>
    <w:p w:rsidR="00A14B3C" w:rsidRPr="00A14B3C" w:rsidRDefault="00A14B3C" w:rsidP="00A97CE9">
      <w:pPr>
        <w:spacing w:after="120"/>
        <w:ind w:firstLine="509"/>
        <w:jc w:val="center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*******</w:t>
      </w:r>
    </w:p>
    <w:p w:rsidR="00C25851" w:rsidRPr="00A14B3C" w:rsidRDefault="00C25851" w:rsidP="00AF15E4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ختاما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 xml:space="preserve"> ..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أوصي نفسي وإخواني أن نرفق بأنفسنا والمسلمين</w:t>
      </w:r>
    </w:p>
    <w:p w:rsidR="00C25851" w:rsidRPr="00A14B3C" w:rsidRDefault="00C25851" w:rsidP="00AF15E4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 xml:space="preserve">فالعامة قد أصابهم من التخبط </w:t>
      </w:r>
      <w:r w:rsidR="00AF15E4">
        <w:rPr>
          <w:rFonts w:ascii="Traditional Arabic" w:hAnsi="Traditional Arabic" w:cs="Traditional Arabic" w:hint="cs"/>
          <w:sz w:val="38"/>
          <w:szCs w:val="38"/>
          <w:rtl/>
        </w:rPr>
        <w:t xml:space="preserve">-جراء أمثال هذه الفتاوى-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ما الله به عليم</w:t>
      </w:r>
      <w:r w:rsidR="00AF15E4">
        <w:rPr>
          <w:rFonts w:ascii="Traditional Arabic" w:hAnsi="Traditional Arabic" w:cs="Traditional Arabic" w:hint="cs"/>
          <w:sz w:val="38"/>
          <w:szCs w:val="38"/>
          <w:rtl/>
        </w:rPr>
        <w:t>.</w:t>
      </w:r>
    </w:p>
    <w:p w:rsidR="00C25851" w:rsidRPr="00A14B3C" w:rsidRDefault="00C25851" w:rsidP="00AF15E4">
      <w:pPr>
        <w:spacing w:after="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ولنضبط اجتهاداتنا بمنهج السلف وفقه الراسخين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C25851" w:rsidRPr="00A14B3C" w:rsidRDefault="00C25851" w:rsidP="00AF15E4">
      <w:pPr>
        <w:spacing w:after="12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و</w:t>
      </w:r>
      <w:r w:rsidR="00AF15E4">
        <w:rPr>
          <w:rFonts w:ascii="Traditional Arabic" w:hAnsi="Traditional Arabic" w:cs="Traditional Arabic" w:hint="cs"/>
          <w:sz w:val="38"/>
          <w:szCs w:val="38"/>
          <w:rtl/>
        </w:rPr>
        <w:t>لنأخذ أنفسنا بو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صية ثمينة للإمام أحمد رحمه الله:</w:t>
      </w:r>
      <w:r w:rsidR="00D06496" w:rsidRPr="00A14B3C">
        <w:rPr>
          <w:rFonts w:ascii="Traditional Arabic" w:hAnsi="Traditional Arabic" w:cs="Traditional Arabic"/>
          <w:sz w:val="38"/>
          <w:szCs w:val="38"/>
          <w:rtl/>
        </w:rPr>
        <w:t xml:space="preserve"> </w:t>
      </w:r>
      <w:r w:rsidRPr="00A14B3C">
        <w:rPr>
          <w:rFonts w:ascii="Traditional Arabic" w:hAnsi="Traditional Arabic" w:cs="Traditional Arabic"/>
          <w:sz w:val="38"/>
          <w:szCs w:val="38"/>
          <w:rtl/>
        </w:rPr>
        <w:t>(إياك أن تتكلم في مسألة ليس لك فيها إمام)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C25851" w:rsidRPr="00A14B3C" w:rsidRDefault="00C25851" w:rsidP="00AF15E4">
      <w:pPr>
        <w:spacing w:after="360"/>
        <w:ind w:firstLine="509"/>
        <w:jc w:val="both"/>
        <w:rPr>
          <w:rFonts w:ascii="Traditional Arabic" w:hAnsi="Traditional Arabic" w:cs="Traditional Arabic"/>
          <w:sz w:val="38"/>
          <w:szCs w:val="38"/>
          <w:rtl/>
        </w:rPr>
      </w:pPr>
      <w:r w:rsidRPr="00A14B3C">
        <w:rPr>
          <w:rFonts w:ascii="Traditional Arabic" w:hAnsi="Traditional Arabic" w:cs="Traditional Arabic"/>
          <w:sz w:val="38"/>
          <w:szCs w:val="38"/>
          <w:rtl/>
        </w:rPr>
        <w:t>أسأل الله أن يرزقنا التوفيق والهدى والسداد</w:t>
      </w:r>
      <w:r w:rsidR="00A14B3C" w:rsidRPr="00A14B3C">
        <w:rPr>
          <w:rFonts w:ascii="Traditional Arabic" w:hAnsi="Traditional Arabic" w:cs="Traditional Arabic"/>
          <w:sz w:val="38"/>
          <w:szCs w:val="38"/>
          <w:rtl/>
        </w:rPr>
        <w:t>.</w:t>
      </w:r>
    </w:p>
    <w:p w:rsidR="00A14B3C" w:rsidRPr="00AF15E4" w:rsidRDefault="00A14B3C" w:rsidP="00AF15E4">
      <w:pPr>
        <w:ind w:firstLine="509"/>
        <w:jc w:val="center"/>
        <w:rPr>
          <w:rFonts w:ascii="Traditional Arabic" w:hAnsi="Traditional Arabic" w:cs="Traditional Arabic"/>
          <w:b/>
          <w:bCs/>
          <w:sz w:val="38"/>
          <w:szCs w:val="38"/>
          <w:rtl/>
        </w:rPr>
      </w:pPr>
      <w:r w:rsidRPr="00AF15E4">
        <w:rPr>
          <w:rFonts w:ascii="Traditional Arabic" w:hAnsi="Traditional Arabic" w:cs="Traditional Arabic"/>
          <w:b/>
          <w:bCs/>
          <w:sz w:val="34"/>
          <w:szCs w:val="34"/>
          <w:rtl/>
        </w:rPr>
        <w:t>وكتبه: صالح بن عبد العزيز بن عثمان سندي</w:t>
      </w:r>
    </w:p>
    <w:sectPr w:rsidR="00A14B3C" w:rsidRPr="00AF15E4" w:rsidSect="00D47F59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1C" w:rsidRDefault="0029061C" w:rsidP="00A14B3C">
      <w:pPr>
        <w:spacing w:after="0" w:line="240" w:lineRule="auto"/>
      </w:pPr>
      <w:r>
        <w:separator/>
      </w:r>
    </w:p>
  </w:endnote>
  <w:endnote w:type="continuationSeparator" w:id="0">
    <w:p w:rsidR="0029061C" w:rsidRDefault="0029061C" w:rsidP="00A1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24"/>
        <w:szCs w:val="24"/>
        <w:rtl/>
      </w:rPr>
      <w:id w:val="342056874"/>
      <w:docPartObj>
        <w:docPartGallery w:val="Page Numbers (Bottom of Page)"/>
        <w:docPartUnique/>
      </w:docPartObj>
    </w:sdtPr>
    <w:sdtContent>
      <w:p w:rsidR="00A14B3C" w:rsidRPr="00A14B3C" w:rsidRDefault="00A14B3C">
        <w:pPr>
          <w:pStyle w:val="a4"/>
          <w:jc w:val="center"/>
          <w:rPr>
            <w:b/>
            <w:bCs/>
            <w:sz w:val="24"/>
            <w:szCs w:val="24"/>
          </w:rPr>
        </w:pPr>
        <w:r w:rsidRPr="00A14B3C">
          <w:rPr>
            <w:b/>
            <w:bCs/>
            <w:sz w:val="24"/>
            <w:szCs w:val="24"/>
          </w:rPr>
          <w:fldChar w:fldCharType="begin"/>
        </w:r>
        <w:r w:rsidRPr="00A14B3C">
          <w:rPr>
            <w:b/>
            <w:bCs/>
            <w:sz w:val="24"/>
            <w:szCs w:val="24"/>
          </w:rPr>
          <w:instrText>PAGE   \* MERGEFORMAT</w:instrText>
        </w:r>
        <w:r w:rsidRPr="00A14B3C">
          <w:rPr>
            <w:b/>
            <w:bCs/>
            <w:sz w:val="24"/>
            <w:szCs w:val="24"/>
          </w:rPr>
          <w:fldChar w:fldCharType="separate"/>
        </w:r>
        <w:r w:rsidR="00D8524F" w:rsidRPr="00D8524F">
          <w:rPr>
            <w:b/>
            <w:bCs/>
            <w:noProof/>
            <w:sz w:val="24"/>
            <w:szCs w:val="24"/>
            <w:rtl/>
            <w:lang w:val="ar-SA"/>
          </w:rPr>
          <w:t>2</w:t>
        </w:r>
        <w:r w:rsidRPr="00A14B3C">
          <w:rPr>
            <w:b/>
            <w:bCs/>
            <w:sz w:val="24"/>
            <w:szCs w:val="24"/>
          </w:rPr>
          <w:fldChar w:fldCharType="end"/>
        </w:r>
      </w:p>
    </w:sdtContent>
  </w:sdt>
  <w:p w:rsidR="00A14B3C" w:rsidRDefault="00A14B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1C" w:rsidRDefault="0029061C" w:rsidP="00A14B3C">
      <w:pPr>
        <w:spacing w:after="0" w:line="240" w:lineRule="auto"/>
      </w:pPr>
      <w:r>
        <w:separator/>
      </w:r>
    </w:p>
  </w:footnote>
  <w:footnote w:type="continuationSeparator" w:id="0">
    <w:p w:rsidR="0029061C" w:rsidRDefault="0029061C" w:rsidP="00A1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51"/>
    <w:rsid w:val="0029061C"/>
    <w:rsid w:val="00A13CF9"/>
    <w:rsid w:val="00A14B3C"/>
    <w:rsid w:val="00A47AA5"/>
    <w:rsid w:val="00A97CE9"/>
    <w:rsid w:val="00AF15E4"/>
    <w:rsid w:val="00C25851"/>
    <w:rsid w:val="00D06496"/>
    <w:rsid w:val="00D47F59"/>
    <w:rsid w:val="00D8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4B3C"/>
  </w:style>
  <w:style w:type="paragraph" w:styleId="a4">
    <w:name w:val="footer"/>
    <w:basedOn w:val="a"/>
    <w:link w:val="Char0"/>
    <w:uiPriority w:val="99"/>
    <w:unhideWhenUsed/>
    <w:rsid w:val="00A1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14B3C"/>
  </w:style>
  <w:style w:type="paragraph" w:styleId="a4">
    <w:name w:val="footer"/>
    <w:basedOn w:val="a"/>
    <w:link w:val="Char0"/>
    <w:uiPriority w:val="99"/>
    <w:unhideWhenUsed/>
    <w:rsid w:val="00A14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1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2017-05-15T14:12:00Z</dcterms:created>
  <dcterms:modified xsi:type="dcterms:W3CDTF">2017-05-15T15:17:00Z</dcterms:modified>
</cp:coreProperties>
</file>